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1.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68274CF3" w:rsidR="00BA0D8A" w:rsidRPr="00902980" w:rsidRDefault="00781847" w:rsidP="00067807">
            <w:pPr>
              <w:spacing w:after="12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 </w:t>
            </w:r>
            <w:r w:rsidR="00BA0D8A"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Mẫu số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Quỹ </w:t>
            </w:r>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 xml:space="preserve">ầu tư Doanh nghiệp </w:t>
            </w:r>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 xml:space="preserve">àng đầu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(Ban hành theo TT số 198/2012/TT-BTC ngày 15/11/2012 của Bộ Tài Chính)</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62FF8E18"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070C3E">
        <w:rPr>
          <w:rFonts w:ascii="Times New Roman" w:hAnsi="Times New Roman" w:cs="Times New Roman"/>
          <w:b/>
          <w:sz w:val="24"/>
          <w:szCs w:val="24"/>
        </w:rPr>
        <w:t>II</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D739A1">
        <w:rPr>
          <w:rFonts w:ascii="Times New Roman" w:hAnsi="Times New Roman" w:cs="Times New Roman"/>
          <w:b/>
          <w:sz w:val="24"/>
          <w:szCs w:val="24"/>
        </w:rPr>
        <w:t>3</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Đặc điểm hoạt động của Quỹ mở</w:t>
      </w:r>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r w:rsidRPr="00902980">
        <w:rPr>
          <w:rFonts w:ascii="Times New Roman" w:hAnsi="Times New Roman" w:cs="Times New Roman"/>
          <w:b/>
          <w:sz w:val="20"/>
          <w:szCs w:val="20"/>
        </w:rPr>
        <w:t>Giấy chứng nhận chào bán chứng chỉ Quỹ và Giấy chứng nhận đăng ký thành lập Quỹ mở</w:t>
      </w:r>
    </w:p>
    <w:p w14:paraId="224645FD" w14:textId="55E88A8D" w:rsidR="00697857" w:rsidRPr="00902980" w:rsidRDefault="003A4373"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Đầu tư Doanh nghiệp Hàng đầu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(“Quỹ”) được thành lập ban đầu dưới hình thức quỹ đại chúng dạng đóng theo Giấy Chứng Nhận Đăng Ký Thành lập số 11/UBCK-GCN do Ủy ban Chứng khoán Nhà nước Việt Nam cấp ngày 28 tháng 2 năm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Quyết định số 384/QĐ-UBCK do Ủy ban Chứng khoán Nhà nước cấp ngày 27 tháng 4 năm 2015 về việc sửa đổi </w:t>
      </w:r>
      <w:r w:rsidR="000756AA" w:rsidRPr="00902980">
        <w:rPr>
          <w:rFonts w:ascii="Times New Roman" w:eastAsia="PMingLiU" w:hAnsi="Times New Roman" w:cs="Times New Roman"/>
          <w:sz w:val="20"/>
          <w:szCs w:val="20"/>
        </w:rPr>
        <w:t>Giấy Chứng Nhận Đăng Ký Lập Quỹ đại chúng số 06/GCN-UBCK (“Giấy Chứng nhận Đăng ký Thành lập”) ngày 16 tháng 12 năm 2013 do Ủy Ban Chứng Khoán Nhà Nước Việt Nam cấ</w:t>
      </w:r>
      <w:r w:rsidR="00A12EFD" w:rsidRPr="00902980">
        <w:rPr>
          <w:rFonts w:ascii="Times New Roman" w:eastAsia="PMingLiU" w:hAnsi="Times New Roman" w:cs="Times New Roman"/>
          <w:sz w:val="20"/>
          <w:szCs w:val="20"/>
        </w:rPr>
        <w:t>p.</w:t>
      </w:r>
      <w:r w:rsidR="00FB0655" w:rsidRPr="00902980">
        <w:rPr>
          <w:rFonts w:ascii="Times New Roman" w:eastAsia="PMingLiU" w:hAnsi="Times New Roman" w:cs="Times New Roman"/>
          <w:sz w:val="20"/>
          <w:szCs w:val="20"/>
        </w:rPr>
        <w:t xml:space="preserve"> </w:t>
      </w:r>
      <w:r w:rsidR="00FB0655" w:rsidRPr="00902980">
        <w:rPr>
          <w:rFonts w:ascii="Times New Roman" w:hAnsi="Times New Roman" w:cs="Times New Roman"/>
          <w:sz w:val="20"/>
          <w:szCs w:val="20"/>
        </w:rPr>
        <w:t>Quỹ</w:t>
      </w:r>
      <w:r w:rsidR="00FB0655" w:rsidRPr="00902980">
        <w:rPr>
          <w:rFonts w:ascii="Times New Roman" w:eastAsia="Times New Roman" w:hAnsi="Times New Roman" w:cs="Times New Roman"/>
          <w:sz w:val="20"/>
          <w:szCs w:val="20"/>
          <w:lang w:eastAsia="en-GB"/>
        </w:rPr>
        <w:t xml:space="preserve"> đổi tên</w:t>
      </w:r>
      <w:r w:rsidR="00067807" w:rsidRPr="00902980">
        <w:rPr>
          <w:rFonts w:ascii="Times New Roman" w:eastAsia="Times New Roman" w:hAnsi="Times New Roman" w:cs="Times New Roman"/>
          <w:sz w:val="20"/>
          <w:szCs w:val="20"/>
          <w:lang w:eastAsia="en-GB"/>
        </w:rPr>
        <w:t xml:space="preserve"> thành </w:t>
      </w:r>
      <w:r w:rsidR="00067807" w:rsidRPr="00902980">
        <w:rPr>
          <w:rFonts w:ascii="Times New Roman" w:hAnsi="Times New Roman" w:cs="Times New Roman"/>
          <w:sz w:val="20"/>
          <w:szCs w:val="20"/>
        </w:rPr>
        <w:t>Quỹ Đầu tư Doanh nghiệp Hàng đầu DC (“DCBC”)</w:t>
      </w:r>
      <w:r w:rsidR="00FB0655" w:rsidRPr="00902980">
        <w:rPr>
          <w:rFonts w:ascii="Times New Roman" w:eastAsia="Times New Roman" w:hAnsi="Times New Roman" w:cs="Times New Roman"/>
          <w:sz w:val="20"/>
          <w:szCs w:val="20"/>
          <w:lang w:eastAsia="en-GB"/>
        </w:rPr>
        <w:t xml:space="preserve"> theo</w:t>
      </w:r>
      <w:r w:rsidR="00067807" w:rsidRPr="00902980">
        <w:rPr>
          <w:rFonts w:ascii="Times New Roman" w:hAnsi="Times New Roman" w:cs="Times New Roman"/>
          <w:sz w:val="20"/>
          <w:szCs w:val="20"/>
        </w:rPr>
        <w:t xml:space="preserve"> Nghị quyết Đại hội nhà đầu tư thường niên ngày 28 tháng 04 năm 2021 và </w:t>
      </w:r>
      <w:r w:rsidR="00FB0655" w:rsidRPr="00902980">
        <w:rPr>
          <w:rFonts w:ascii="Times New Roman" w:eastAsia="Times New Roman" w:hAnsi="Times New Roman" w:cs="Times New Roman"/>
          <w:sz w:val="20"/>
          <w:szCs w:val="20"/>
          <w:lang w:eastAsia="en-GB"/>
        </w:rPr>
        <w:t xml:space="preserve">Giấy Chứng Nhận Về việc điều chỉnh Giấy chứng nhận </w:t>
      </w:r>
      <w:r w:rsidR="00FB0655" w:rsidRPr="00902980">
        <w:rPr>
          <w:rFonts w:ascii="Times New Roman" w:hAnsi="Times New Roman" w:cs="Times New Roman"/>
          <w:sz w:val="20"/>
          <w:szCs w:val="20"/>
        </w:rPr>
        <w:t>đăng ký lập Quỹ đại chúng số 15/GCN-UBCK do Ủy ban Chứng khoán Nhà nước Việt Nam cấp ngày 24 tháng 5 năm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r w:rsidR="000756AA" w:rsidRPr="00902980">
        <w:rPr>
          <w:rFonts w:ascii="Times New Roman" w:eastAsia="PMingLiU" w:hAnsi="Times New Roman" w:cs="Times New Roman"/>
          <w:sz w:val="20"/>
          <w:szCs w:val="20"/>
        </w:rPr>
        <w:t>Quỹ không bị giới hạn về thời gian hoạt động</w:t>
      </w:r>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được niêm yết tại Sở Giao dịch Chứng khoán Thành phố Hồ Chí Minh theo Giấy phép niêm yết chứng chỉ quỹ số 58/QĐ-SGDHCM ngày 3 tháng 6 năm 2008 và đã được hủy niêm yết vào ngày 27 tháng 11 năm 2013 theo Quyết định số 363/2013/QĐ-SGDHCM ngày 28 tháng 10 năm 2013 để thực hiện thủ tục chuyển đổi từ quỹ đóng sang quỹ mở.</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Địa chỉ liên hệ của Quỹ</w:t>
      </w:r>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eastAsia="en-GB"/>
        </w:rPr>
        <w:t>Tầng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Những đặc điểm chính về hoạt động Quỹ mở</w:t>
      </w:r>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Quy mô vốn Quỹ mở</w:t>
      </w:r>
    </w:p>
    <w:p w14:paraId="1D3D4C61" w14:textId="77777777" w:rsidR="001F5AD0"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Tổng số vốn Điều lệ tối đa của Quỹ được quy định trong Giấy Chứng nhận Đăng ký Thành lập là 8.000 tỷ</w:t>
      </w:r>
      <w:r w:rsidR="00E248C7" w:rsidRPr="00902980">
        <w:rPr>
          <w:rFonts w:ascii="Times New Roman" w:hAnsi="Times New Roman" w:cs="Times New Roman"/>
          <w:sz w:val="20"/>
          <w:szCs w:val="20"/>
        </w:rPr>
        <w:t xml:space="preserve"> đ</w:t>
      </w:r>
      <w:r w:rsidRPr="00902980">
        <w:rPr>
          <w:rFonts w:ascii="Times New Roman" w:hAnsi="Times New Roman" w:cs="Times New Roman"/>
          <w:sz w:val="20"/>
          <w:szCs w:val="20"/>
        </w:rPr>
        <w:t>ồng Việt Nam. Theo giấy chứng nhận này, Quỹ được phép phát hành 80.646.000 chứng chỉ quỹ ra công chúng với mệ</w:t>
      </w:r>
      <w:r w:rsidR="006426A5" w:rsidRPr="00902980">
        <w:rPr>
          <w:rFonts w:ascii="Times New Roman" w:hAnsi="Times New Roman" w:cs="Times New Roman"/>
          <w:sz w:val="20"/>
          <w:szCs w:val="20"/>
        </w:rPr>
        <w:t>nh giá là 10.</w:t>
      </w:r>
      <w:r w:rsidR="00E248C7" w:rsidRPr="00902980">
        <w:rPr>
          <w:rFonts w:ascii="Times New Roman" w:hAnsi="Times New Roman" w:cs="Times New Roman"/>
          <w:sz w:val="20"/>
          <w:szCs w:val="20"/>
        </w:rPr>
        <w:t>000 đ</w:t>
      </w:r>
      <w:r w:rsidRPr="00902980">
        <w:rPr>
          <w:rFonts w:ascii="Times New Roman" w:hAnsi="Times New Roman" w:cs="Times New Roman"/>
          <w:sz w:val="20"/>
          <w:szCs w:val="20"/>
        </w:rPr>
        <w:t>ồng Việt Nam trên mỗi chứng chỉ quỹ cho lần huy động vốn đầu tiên</w:t>
      </w:r>
      <w:r w:rsidR="00FC73FA" w:rsidRPr="00902980">
        <w:rPr>
          <w:rFonts w:ascii="Times New Roman" w:hAnsi="Times New Roman" w:cs="Times New Roman"/>
          <w:sz w:val="20"/>
          <w:szCs w:val="20"/>
        </w:rPr>
        <w:t>.</w:t>
      </w:r>
    </w:p>
    <w:p w14:paraId="53A7DFD5" w14:textId="3BAD37D3" w:rsidR="00520846" w:rsidRPr="00902980" w:rsidRDefault="0052084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đã chính thức chuyển đổi thành quỹ đầu tư đại chúng dạng quỹ mở vào ngày 17 tháng 12 năm 2013 theo Giấy Chứng Nhận Đăng Ký Chào Bán số 04/GCN-UBCK ngày 18 tháng 12 năm 2007 và Giấy Chứng nhận Đăng ký Thành lập. Theo Giấy Chứng nhận Đăng ký Thành lập này, tổng số vốn điều lệ của Quỹ là 806.460.000.000 Đồng Việt Nam tương đương với 80.646.000 chứng chỉ quỹ.  Quỹ hoạt động theo Điều lệ Tổ chức và Hoạt động của Quỹ ban hành ngày 19 tháng 11 năm 2013 và được điều chỉnh, bổ sung lần gần nhấ</w:t>
      </w:r>
      <w:r w:rsidR="00AD607E" w:rsidRPr="00902980">
        <w:rPr>
          <w:rFonts w:ascii="Times New Roman" w:hAnsi="Times New Roman" w:cs="Times New Roman"/>
          <w:sz w:val="20"/>
          <w:szCs w:val="20"/>
        </w:rPr>
        <w:t xml:space="preserve">t vào </w:t>
      </w:r>
      <w:r w:rsidR="00FF0133">
        <w:rPr>
          <w:rFonts w:ascii="Times New Roman" w:hAnsi="Times New Roman" w:cs="Times New Roman"/>
          <w:sz w:val="20"/>
          <w:szCs w:val="20"/>
        </w:rPr>
        <w:t xml:space="preserve">ngày </w:t>
      </w:r>
      <w:r w:rsidR="00A54809">
        <w:rPr>
          <w:rFonts w:ascii="Times New Roman" w:hAnsi="Times New Roman" w:cs="Times New Roman"/>
          <w:sz w:val="20"/>
          <w:szCs w:val="20"/>
        </w:rPr>
        <w:t>22</w:t>
      </w:r>
      <w:r w:rsidR="00FF0133" w:rsidRPr="00C0369E">
        <w:rPr>
          <w:rFonts w:ascii="Times New Roman" w:hAnsi="Times New Roman" w:cs="Times New Roman"/>
          <w:sz w:val="20"/>
          <w:szCs w:val="20"/>
        </w:rPr>
        <w:t xml:space="preserve"> </w:t>
      </w:r>
      <w:r w:rsidRPr="00C0369E">
        <w:rPr>
          <w:rFonts w:ascii="Times New Roman" w:hAnsi="Times New Roman" w:cs="Times New Roman"/>
          <w:sz w:val="20"/>
          <w:szCs w:val="20"/>
        </w:rPr>
        <w:t>tháng</w:t>
      </w:r>
      <w:r w:rsidR="00AD607E" w:rsidRPr="00C0369E">
        <w:rPr>
          <w:rFonts w:ascii="Times New Roman" w:hAnsi="Times New Roman" w:cs="Times New Roman"/>
          <w:sz w:val="20"/>
          <w:szCs w:val="20"/>
        </w:rPr>
        <w:t xml:space="preserve"> </w:t>
      </w:r>
      <w:r w:rsidR="00842539" w:rsidRPr="00C0369E">
        <w:rPr>
          <w:rFonts w:ascii="Times New Roman" w:hAnsi="Times New Roman" w:cs="Times New Roman"/>
          <w:sz w:val="20"/>
          <w:szCs w:val="20"/>
        </w:rPr>
        <w:t>0</w:t>
      </w:r>
      <w:r w:rsidR="00D713E1" w:rsidRPr="00C0369E">
        <w:rPr>
          <w:rFonts w:ascii="Times New Roman" w:hAnsi="Times New Roman" w:cs="Times New Roman"/>
          <w:sz w:val="20"/>
          <w:szCs w:val="20"/>
        </w:rPr>
        <w:t>5</w:t>
      </w:r>
      <w:r w:rsidR="00AD607E" w:rsidRPr="00C0369E">
        <w:rPr>
          <w:rFonts w:ascii="Times New Roman" w:hAnsi="Times New Roman" w:cs="Times New Roman"/>
          <w:sz w:val="20"/>
          <w:szCs w:val="20"/>
        </w:rPr>
        <w:t xml:space="preserve"> năm 20</w:t>
      </w:r>
      <w:r w:rsidR="0054044E" w:rsidRPr="00C0369E">
        <w:rPr>
          <w:rFonts w:ascii="Times New Roman" w:hAnsi="Times New Roman" w:cs="Times New Roman"/>
          <w:sz w:val="20"/>
          <w:szCs w:val="20"/>
        </w:rPr>
        <w:t>2</w:t>
      </w:r>
      <w:r w:rsidR="00A54809">
        <w:rPr>
          <w:rFonts w:ascii="Times New Roman" w:hAnsi="Times New Roman" w:cs="Times New Roman"/>
          <w:sz w:val="20"/>
          <w:szCs w:val="20"/>
        </w:rPr>
        <w:t>3</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Mục tiêu đầu tư của Quỹ</w:t>
      </w:r>
    </w:p>
    <w:p w14:paraId="4EFF29F1" w14:textId="5096DFF1"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sz w:val="20"/>
          <w:szCs w:val="20"/>
        </w:rPr>
        <w:t xml:space="preserve">Mục tiêu của </w:t>
      </w:r>
      <w:r w:rsidR="002B0F65" w:rsidRPr="00902980">
        <w:rPr>
          <w:rFonts w:ascii="Times New Roman" w:hAnsi="Times New Roman" w:cs="Times New Roman"/>
          <w:sz w:val="20"/>
          <w:szCs w:val="20"/>
        </w:rPr>
        <w:t>Quỹ DCBC</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tìm kiếm lợi nhuận dài hạn từ tăng trưởng vốn gốc và cổ tức thông qua việc đầu tư vào cổ phiếu của các doanh nghiệp hàng đầu hoạt động trong các ngành cơ bản của nền cơ bản của kinh tế. Các doanh nghiệp đầu tư là các doanh nghiệp </w:t>
      </w:r>
      <w:r w:rsidR="00CD5E16">
        <w:rPr>
          <w:rFonts w:ascii="Times New Roman" w:hAnsi="Times New Roman" w:cs="Times New Roman"/>
          <w:sz w:val="20"/>
          <w:szCs w:val="20"/>
        </w:rPr>
        <w:t>hàng đầu đã và sẽ niêm yết trên thị trường chứng khoán.</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Kỳ tính giá trị tài sản ròng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w:t>
      </w:r>
      <w:r w:rsidR="00FC73FA" w:rsidRPr="00902980">
        <w:rPr>
          <w:rFonts w:ascii="Times New Roman" w:hAnsi="Times New Roman" w:cs="Times New Roman"/>
          <w:sz w:val="20"/>
          <w:szCs w:val="20"/>
        </w:rPr>
        <w:t xml:space="preserve">iá trị tài sản ròng của quỹ được xác định </w:t>
      </w:r>
      <w:r w:rsidR="00070BA3" w:rsidRPr="00902980">
        <w:rPr>
          <w:rFonts w:ascii="Times New Roman" w:hAnsi="Times New Roman" w:cs="Times New Roman"/>
          <w:sz w:val="20"/>
          <w:szCs w:val="20"/>
        </w:rPr>
        <w:t xml:space="preserve">hàng </w:t>
      </w:r>
      <w:r w:rsidR="00FC73FA" w:rsidRPr="00902980">
        <w:rPr>
          <w:rFonts w:ascii="Times New Roman" w:hAnsi="Times New Roman" w:cs="Times New Roman"/>
          <w:sz w:val="20"/>
          <w:szCs w:val="20"/>
        </w:rPr>
        <w:t>ngày vào các ngày làm việc và mỗi tháng. Ngày định giá là ngày làm việc (của kỳ định giá ngày)</w:t>
      </w:r>
      <w:r w:rsidR="006F5653" w:rsidRPr="00902980">
        <w:rPr>
          <w:rFonts w:ascii="Times New Roman" w:hAnsi="Times New Roman" w:cs="Times New Roman"/>
          <w:sz w:val="20"/>
          <w:szCs w:val="20"/>
        </w:rPr>
        <w:t>, ngày thứ Sáu 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 tuần (của kỳ định giá tuần)</w:t>
      </w:r>
      <w:r w:rsidR="00FC73FA" w:rsidRPr="00902980">
        <w:rPr>
          <w:rFonts w:ascii="Times New Roman" w:hAnsi="Times New Roman" w:cs="Times New Roman"/>
          <w:sz w:val="20"/>
          <w:szCs w:val="20"/>
        </w:rPr>
        <w:t xml:space="preserve"> và</w:t>
      </w:r>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ngày đầu tiên của tháng tiếp theo (của kỳ định giá hàng tháng).</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Trường hợp công ty quản lý quỹ thay đổi kỳ xác định giá trị tài sản ròng của quỹ thì công ty quản lý quỹ phải xin ý kiến chấp thuận từ Ban đại diện quỹ trước khi thực hiện.</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Tần suất giao dịch chứng chỉ </w:t>
      </w:r>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 mở</w:t>
      </w:r>
    </w:p>
    <w:p w14:paraId="07E6991E" w14:textId="0E5069E0" w:rsidR="001F5AD0"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Tần suất giao dịch chứng chỉ Quỹ</w:t>
      </w:r>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r w:rsidR="00E248C7" w:rsidRPr="00902980">
        <w:rPr>
          <w:rFonts w:ascii="Times New Roman" w:hAnsi="Times New Roman" w:cs="Times New Roman"/>
          <w:sz w:val="20"/>
          <w:szCs w:val="20"/>
        </w:rPr>
        <w:t>là h</w:t>
      </w:r>
      <w:r w:rsidRPr="00902980">
        <w:rPr>
          <w:rFonts w:ascii="Times New Roman" w:hAnsi="Times New Roman" w:cs="Times New Roman"/>
          <w:sz w:val="20"/>
          <w:szCs w:val="20"/>
        </w:rPr>
        <w:t>àng ngày</w:t>
      </w:r>
      <w:r w:rsidR="007462A0" w:rsidRPr="00902980">
        <w:rPr>
          <w:rFonts w:ascii="Times New Roman" w:hAnsi="Times New Roman" w:cs="Times New Roman"/>
          <w:sz w:val="20"/>
          <w:szCs w:val="20"/>
        </w:rPr>
        <w:t xml:space="preserve"> vào các ngày làm việc trong tuần</w:t>
      </w:r>
      <w:r w:rsidRPr="00902980">
        <w:rPr>
          <w:rFonts w:ascii="Times New Roman" w:hAnsi="Times New Roman" w:cs="Times New Roman"/>
          <w:sz w:val="20"/>
          <w:szCs w:val="20"/>
        </w:rPr>
        <w:t>. Nếu ngày giao dịch rơi vào ngày nghỉ</w:t>
      </w:r>
      <w:r w:rsidR="00E248C7" w:rsidRPr="00902980">
        <w:rPr>
          <w:rFonts w:ascii="Times New Roman" w:hAnsi="Times New Roman" w:cs="Times New Roman"/>
          <w:sz w:val="20"/>
          <w:szCs w:val="20"/>
        </w:rPr>
        <w:t xml:space="preserve"> l</w:t>
      </w:r>
      <w:r w:rsidRPr="00902980">
        <w:rPr>
          <w:rFonts w:ascii="Times New Roman" w:hAnsi="Times New Roman" w:cs="Times New Roman"/>
          <w:sz w:val="20"/>
          <w:szCs w:val="20"/>
        </w:rPr>
        <w:t xml:space="preserve">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w:t>
      </w:r>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trên trang thông tin điện tử của công ty hoặc bằng thư điện tử.</w:t>
      </w:r>
    </w:p>
    <w:p w14:paraId="348CBE4F" w14:textId="77777777" w:rsidR="00023F81"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Việc giảm tần suất giao dịch sẽ được Đại hội nhà đầu tư thông qua và luôn đảm bảo tần suất giao dịch không được ít hơn hai (02) lần trong một (01) tháng.</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Hạn chế đầu tư của Quỹ mở</w:t>
      </w:r>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mục đầu tư của </w:t>
      </w:r>
      <w:r w:rsidR="008F1FFC" w:rsidRPr="00902980">
        <w:rPr>
          <w:rFonts w:ascii="Times New Roman" w:hAnsi="Times New Roman" w:cs="Times New Roman"/>
          <w:sz w:val="20"/>
          <w:szCs w:val="20"/>
        </w:rPr>
        <w:t xml:space="preserve">Quỹ DCBC </w:t>
      </w:r>
      <w:r w:rsidRPr="00902980">
        <w:rPr>
          <w:rFonts w:ascii="Times New Roman" w:hAnsi="Times New Roman" w:cs="Times New Roman"/>
          <w:sz w:val="20"/>
          <w:szCs w:val="20"/>
          <w:lang w:eastAsia="en-GB"/>
        </w:rPr>
        <w:t>phải phù hợp với mục tiêu và chính sách đầu tư đã được quy định rõ tại</w:t>
      </w:r>
      <w:r w:rsidR="000278DD" w:rsidRPr="00902980">
        <w:rPr>
          <w:rFonts w:ascii="Times New Roman" w:hAnsi="Times New Roman" w:cs="Times New Roman"/>
          <w:sz w:val="20"/>
          <w:szCs w:val="20"/>
          <w:lang w:eastAsia="en-GB"/>
        </w:rPr>
        <w:t xml:space="preserve"> </w:t>
      </w:r>
      <w:r w:rsidRPr="00902980">
        <w:rPr>
          <w:rFonts w:ascii="Times New Roman" w:hAnsi="Times New Roman" w:cs="Times New Roman"/>
          <w:sz w:val="20"/>
          <w:szCs w:val="20"/>
          <w:lang w:eastAsia="en-GB"/>
        </w:rPr>
        <w:t>Điều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Điều lệ Quỹ và Bản cáo bạch.</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Kỳ kế toán, đơn vị tiền tệ sử dụng trong kế toán</w:t>
      </w:r>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t xml:space="preserve">Kỳ kế toán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Kỳ kế toán năm của </w:t>
      </w:r>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 là từ ngày 01 tháng 01 đến ngày 31 tháng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Đơn vị tiền tệ sử dụng trong kế toán</w:t>
      </w:r>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r w:rsidRPr="00902980">
        <w:rPr>
          <w:rFonts w:ascii="Times New Roman" w:hAnsi="Times New Roman" w:cs="Times New Roman"/>
          <w:sz w:val="20"/>
          <w:szCs w:val="20"/>
        </w:rPr>
        <w:t>Đơn vị tiền tệ kế toán của Quỹ là Đồng Việt Nam (“VND”), cũng là đơn vị tiền tệ được sử dụng cho mục đích lập và trình bày báo cáo tài chính.</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Chuẩn mực và Chế độ kế toán áp dụng</w:t>
      </w:r>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t>Chế độ kế toán áp dụng</w:t>
      </w:r>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Cs/>
          <w:sz w:val="20"/>
          <w:szCs w:val="20"/>
          <w:lang w:eastAsia="en-GB"/>
        </w:rPr>
        <w:t xml:space="preserve">Quỹ áp dụng Chế độ Kế toán Quỹ </w:t>
      </w:r>
      <w:r w:rsidRPr="00902980">
        <w:rPr>
          <w:rFonts w:ascii="Times New Roman" w:eastAsia="Times New Roman" w:hAnsi="Times New Roman" w:cs="Times New Roman"/>
          <w:bCs/>
          <w:color w:val="000000" w:themeColor="text1"/>
          <w:sz w:val="20"/>
          <w:szCs w:val="20"/>
          <w:lang w:eastAsia="en-GB"/>
        </w:rPr>
        <w:t>mở</w:t>
      </w:r>
      <w:r w:rsidRPr="00902980">
        <w:rPr>
          <w:rFonts w:ascii="Times New Roman" w:eastAsia="Times New Roman" w:hAnsi="Times New Roman" w:cs="Times New Roman"/>
          <w:bCs/>
          <w:sz w:val="20"/>
          <w:szCs w:val="20"/>
          <w:lang w:eastAsia="en-GB"/>
        </w:rPr>
        <w:t xml:space="preserve"> ban hành theo </w:t>
      </w:r>
      <w:r w:rsidR="00235296" w:rsidRPr="00902980">
        <w:rPr>
          <w:rFonts w:ascii="Times New Roman" w:eastAsia="Times New Roman" w:hAnsi="Times New Roman" w:cs="Times New Roman"/>
          <w:bCs/>
          <w:sz w:val="20"/>
          <w:szCs w:val="20"/>
          <w:lang w:eastAsia="en-GB"/>
        </w:rPr>
        <w:t>Thông tư 198/2012/TT-BTC ngày 15 tháng 11 năm 2012 về chế độ kế toán áp dụng đối với quỹ mở</w:t>
      </w:r>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Thông tư 181/2015/TT-BTC ngày 13 tháng 11 năm 2015 về Chế độ kế toán áp dụng đối với Quỹ Hoán đổi danh mục do Bộ trưởng Bộ Tài chính ban hành</w:t>
      </w:r>
      <w:r w:rsidRPr="00902980">
        <w:rPr>
          <w:rFonts w:ascii="Times New Roman" w:eastAsia="Times New Roman" w:hAnsi="Times New Roman" w:cs="Times New Roman"/>
          <w:bCs/>
          <w:sz w:val="20"/>
          <w:szCs w:val="20"/>
          <w:lang w:eastAsia="en-GB"/>
        </w:rPr>
        <w:t xml:space="preserve"> của Bộ Tài chính và theo các chuẩn mực kế toán, hệ thống kế toán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lastRenderedPageBreak/>
        <w:t xml:space="preserve">3.2     </w:t>
      </w:r>
      <w:r w:rsidR="00FC73FA" w:rsidRPr="00902980">
        <w:rPr>
          <w:rFonts w:ascii="Times New Roman" w:eastAsia="Times New Roman" w:hAnsi="Times New Roman" w:cs="Times New Roman"/>
          <w:b/>
          <w:sz w:val="20"/>
          <w:szCs w:val="20"/>
        </w:rPr>
        <w:t>Tuyên bố về việc tuân thủ Chuẩn mực kế toán và Chế độ kế toán</w:t>
      </w:r>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Báo cáo tài chính được lập theo Thông tư</w:t>
      </w:r>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r w:rsidRPr="00902980">
        <w:rPr>
          <w:rFonts w:ascii="Times New Roman" w:eastAsia="Times New Roman" w:hAnsi="Times New Roman" w:cs="Times New Roman"/>
          <w:bCs/>
          <w:sz w:val="20"/>
          <w:szCs w:val="20"/>
          <w:lang w:eastAsia="en-GB"/>
        </w:rPr>
        <w:t>ngày 15 tháng 11 năm 2012 do Bộ Tài chính ban hành về chế độ kế toán áp dụng đối với quỹ mở</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tư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t>Thông tư số 98/2020/TT-BTC ngày 16 tháng 11 năm 2020 của Bộ trưởng Bộ Tài Chính về hướng dẫn hoạt động và quản lý quỹ đầu tư chứng khoán</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r w:rsidRPr="00902980">
        <w:rPr>
          <w:rFonts w:ascii="Times New Roman" w:eastAsia="Times New Roman" w:hAnsi="Times New Roman" w:cs="Times New Roman"/>
          <w:bCs/>
          <w:sz w:val="20"/>
          <w:szCs w:val="20"/>
          <w:lang w:eastAsia="en-GB"/>
        </w:rPr>
        <w:t>và các quy định có liên quan đến việc lập và trình bày báo cáo tài chính.</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t>Hình thức kế toán áp dụng</w:t>
      </w:r>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r w:rsidRPr="00902980">
        <w:rPr>
          <w:rFonts w:ascii="Times New Roman" w:hAnsi="Times New Roman" w:cs="Times New Roman"/>
          <w:sz w:val="20"/>
          <w:szCs w:val="20"/>
        </w:rPr>
        <w:t>Hình thức sổ kế toán áp dụng được đăng ký của Quỹ là Nhật ký chung.</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Các chính sách kế toán áp dụng</w:t>
      </w:r>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Tiền và các khoản tương đương tiền</w:t>
      </w:r>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r w:rsidR="00F3304D" w:rsidRPr="00902980">
        <w:rPr>
          <w:rFonts w:ascii="Times New Roman" w:hAnsi="Times New Roman" w:cs="Times New Roman"/>
          <w:sz w:val="20"/>
          <w:szCs w:val="20"/>
        </w:rPr>
        <w:t xml:space="preserve">gốc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tắc ghi nhận và phân loại các khoản đầu tư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r w:rsidR="00F0660C" w:rsidRPr="00902980">
        <w:rPr>
          <w:rFonts w:ascii="Times New Roman" w:hAnsi="Times New Roman" w:cs="Times New Roman"/>
          <w:sz w:val="20"/>
          <w:szCs w:val="20"/>
        </w:rPr>
        <w:t>tại các mục phía dưới</w:t>
      </w:r>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52249662" w14:textId="77777777" w:rsidR="009367D3" w:rsidRDefault="009367D3" w:rsidP="00904DD1">
      <w:pPr>
        <w:spacing w:line="360" w:lineRule="auto"/>
        <w:jc w:val="both"/>
        <w:rPr>
          <w:rFonts w:ascii="Times New Roman" w:hAnsi="Times New Roman" w:cs="Times New Roman"/>
          <w:b/>
          <w:i/>
          <w:sz w:val="20"/>
          <w:szCs w:val="20"/>
          <w:lang w:val="vi-VN"/>
        </w:rPr>
      </w:pP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lastRenderedPageBreak/>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Các khoản phải thu</w:t>
      </w:r>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r w:rsidRPr="00902980">
              <w:rPr>
                <w:rFonts w:ascii="Times New Roman" w:hAnsi="Times New Roman" w:cs="Times New Roman"/>
                <w:sz w:val="20"/>
                <w:szCs w:val="20"/>
              </w:rPr>
              <w:t>Từ</w:t>
            </w:r>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trở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r w:rsidR="00993FA7" w:rsidRPr="00902980">
        <w:rPr>
          <w:rFonts w:eastAsiaTheme="minorHAnsi"/>
          <w:sz w:val="20"/>
          <w:lang w:val="en-US"/>
        </w:rPr>
        <w:t>kỳ</w:t>
      </w:r>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khoản phải trả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645C65A1" w14:textId="77777777" w:rsidR="0066013C" w:rsidRDefault="0066013C" w:rsidP="00593491">
      <w:pPr>
        <w:spacing w:before="120" w:after="120" w:line="360" w:lineRule="auto"/>
        <w:jc w:val="both"/>
        <w:rPr>
          <w:rFonts w:ascii="Times New Roman" w:eastAsia="Times New Roman" w:hAnsi="Times New Roman" w:cs="Times New Roman"/>
          <w:b/>
          <w:bCs/>
          <w:i/>
          <w:sz w:val="20"/>
          <w:szCs w:val="20"/>
          <w:lang w:val="vi-VN" w:eastAsia="en-GB"/>
        </w:rPr>
      </w:pP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lastRenderedPageBreak/>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D5AB125" w14:textId="77777777" w:rsidR="00432782" w:rsidRPr="005B0542" w:rsidRDefault="00432782" w:rsidP="00904DD1">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0B4AB116" w14:textId="77777777" w:rsidR="00432782" w:rsidRPr="005B0542" w:rsidRDefault="00432782" w:rsidP="00904DD1">
      <w:pPr>
        <w:pStyle w:val="BodyText"/>
        <w:keepNext/>
        <w:numPr>
          <w:ilvl w:val="3"/>
          <w:numId w:val="0"/>
        </w:numPr>
        <w:spacing w:before="260" w:after="140" w:line="360" w:lineRule="auto"/>
        <w:ind w:hanging="547"/>
        <w:rPr>
          <w:b/>
          <w:i/>
          <w:sz w:val="20"/>
          <w:lang w:val="vi-VN"/>
        </w:rPr>
      </w:pPr>
      <w:r w:rsidRPr="005B0542">
        <w:rPr>
          <w:b/>
          <w:i/>
          <w:sz w:val="20"/>
          <w:lang w:val="vi-VN"/>
        </w:rPr>
        <w:tab/>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lastRenderedPageBreak/>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Doanh thu</w:t>
      </w:r>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Doanh thu được ghi nhận khi Quỹ có khả năng tương đối chắc chắn nhận được các lợi ích kinh tế và các khoản doanh thu này có thể xác định được một cách đáng tin cậy. Các tiêu chuẩn cụ thể sau đây phải được đáp ứng trước khi doanh thu được ghi nhận:</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Thu nhập lãi tiền gửi và cổ tức</w:t>
      </w:r>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nhập lãi tiền gửi được ghi nhận theo tỷ lệ tương ứng với thời gian dựa trên số dư gốc và lãi suất áp dụng trong báo cáo thu nhập trên cơ sở dồn tích trừ khi khả năng thu hồi không chắc chắn.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Thu nhập từ cổ tức được ghi nhận trong báo cáo thu nhập khi quyền nhận cổ tức của Quỹ được xác lập. Cổ tức bằng cổ phiếu không được ghi nhận là thu nhập.</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Thu nhập từ hoạt động kinh doanh chứng khoán</w:t>
      </w:r>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hi phí</w:t>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r w:rsidRPr="00902980">
        <w:rPr>
          <w:rFonts w:ascii="Times New Roman" w:hAnsi="Times New Roman" w:cs="Times New Roman"/>
          <w:sz w:val="20"/>
          <w:szCs w:val="20"/>
        </w:rPr>
        <w:t>Các khoản chi phí được ghi nhận trong báo cáo thu nhập trên cơ sở dồn tích</w:t>
      </w:r>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Thuế</w:t>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Giao dịch trả cổ tức cho Nhà đầu tư</w:t>
      </w:r>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Quỹ trả cổ tức cho Nhà đầu tư,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w:t>
      </w:r>
      <w:r w:rsidRPr="00902980">
        <w:rPr>
          <w:rFonts w:ascii="Times New Roman" w:hAnsi="Times New Roman" w:cs="Times New Roman"/>
          <w:sz w:val="20"/>
          <w:szCs w:val="20"/>
        </w:rPr>
        <w:lastRenderedPageBreak/>
        <w:t xml:space="preserve">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w:t>
      </w:r>
      <w:r w:rsidR="00432C2E" w:rsidRPr="00902980">
        <w:rPr>
          <w:rFonts w:ascii="Times New Roman" w:hAnsi="Times New Roman" w:cs="Times New Roman"/>
          <w:sz w:val="20"/>
          <w:szCs w:val="20"/>
        </w:rPr>
        <w:t>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quản lý Quỹ về việc tự nộp thuế để không bị khấu trừ phần thuế tương ứng.</w:t>
      </w:r>
      <w:r w:rsidRPr="00902980">
        <w:rPr>
          <w:rFonts w:ascii="Times New Roman" w:hAnsi="Times New Roman" w:cs="Times New Roman"/>
          <w:sz w:val="20"/>
          <w:szCs w:val="20"/>
        </w:rPr>
        <w:t xml:space="preserve"> Khi trả cổ tức cho nhà đầu tư là cá nhân (trong nước và nước ngoài),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Công ty Quản lý Quỹ có trách nhiệm khấu trừ số thuế thu nhập cá nhân bằng 5% lợi nhuận được phân phối.</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dịch mua lại chứng chỉ </w:t>
      </w:r>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Công ty Quản lý Quỹ có nghĩa vụ khấu trừ, kê khai và nộp thuế đối với giao dịch mua lại chứng chỉ quỹ từ nhà đầu tư cá nhân (trong nước và nước ngoài) và giao dịch mua lại chứng chỉ quỹ từ những tổ chức đầu tư nước ngoài theo Thông tư 111 được sửa đổi và bổ sung bởi Thông tư 92</w:t>
      </w:r>
      <w:r w:rsidR="00B803B8" w:rsidRPr="00902980">
        <w:rPr>
          <w:rFonts w:ascii="Times New Roman" w:hAnsi="Times New Roman" w:cs="Times New Roman"/>
          <w:sz w:val="20"/>
          <w:szCs w:val="20"/>
        </w:rPr>
        <w:t xml:space="preserve"> và</w:t>
      </w:r>
      <w:r w:rsidR="0026584A" w:rsidRPr="00902980">
        <w:rPr>
          <w:rFonts w:ascii="Times New Roman" w:hAnsi="Times New Roman" w:cs="Times New Roman"/>
          <w:sz w:val="20"/>
          <w:szCs w:val="20"/>
        </w:rPr>
        <w:t xml:space="preserve"> Thông tư 25/2018/TT-BT</w:t>
      </w:r>
      <w:r w:rsidR="00B803B8" w:rsidRPr="00902980">
        <w:rPr>
          <w:rFonts w:ascii="Times New Roman" w:hAnsi="Times New Roman" w:cs="Times New Roman"/>
          <w:sz w:val="20"/>
          <w:szCs w:val="20"/>
        </w:rPr>
        <w:t>C ngày 1/5/2018 (“Thông tư 25”),</w:t>
      </w:r>
      <w:r w:rsidRPr="00902980">
        <w:rPr>
          <w:rFonts w:ascii="Times New Roman" w:hAnsi="Times New Roman" w:cs="Times New Roman"/>
          <w:sz w:val="20"/>
          <w:szCs w:val="20"/>
        </w:rPr>
        <w:t xml:space="preserve"> Thông tư 103/2014/TT-BTC ngày 6 tháng 8 năm 2014 do Bộ Tài chính ban hành. Mức thuế áp dụng là 0,1% trên giá trị chuyển nhượ</w:t>
      </w:r>
      <w:r w:rsidR="00DC23B2" w:rsidRPr="00902980">
        <w:rPr>
          <w:rFonts w:ascii="Times New Roman" w:hAnsi="Times New Roman" w:cs="Times New Roman"/>
          <w:sz w:val="20"/>
          <w:szCs w:val="20"/>
        </w:rPr>
        <w:t xml:space="preserve">ng. </w:t>
      </w:r>
      <w:r w:rsidRPr="00902980">
        <w:rPr>
          <w:rFonts w:ascii="Times New Roman" w:hAnsi="Times New Roman" w:cs="Times New Roman"/>
          <w:sz w:val="20"/>
          <w:szCs w:val="20"/>
        </w:rPr>
        <w:t>Quỹ sẽ không khấu trừ thuế đối với các giao dịch mua lại chứng chỉ quỹ từ nhà đầu tư là tổ chức trong nước. Các nhà đầu tư này phải chịu trách nhiệm tự kê khai và nộp thuế cho Nhà nước theo Thông tư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Số dư bằng không</w:t>
      </w:r>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r w:rsidRPr="0057477D">
        <w:rPr>
          <w:rFonts w:ascii="Times New Roman" w:hAnsi="Times New Roman" w:cs="Times New Roman"/>
          <w:bCs/>
          <w:sz w:val="20"/>
          <w:szCs w:val="20"/>
        </w:rPr>
        <w:t>Phần thuyết minh này được trình bày theo phụ lục đính kèm.</w:t>
      </w:r>
    </w:p>
    <w:bookmarkStart w:id="0" w:name="_MON_1750600136"/>
    <w:bookmarkEnd w:id="0"/>
    <w:p w14:paraId="5DF06089" w14:textId="35C27158" w:rsidR="001224F4" w:rsidRPr="001224F4" w:rsidRDefault="00843D42" w:rsidP="001224F4">
      <w:pPr>
        <w:spacing w:before="120" w:after="120" w:line="360" w:lineRule="auto"/>
        <w:jc w:val="both"/>
        <w:rPr>
          <w:rFonts w:ascii="Times New Roman" w:hAnsi="Times New Roman" w:cs="Times New Roman"/>
          <w:bCs/>
          <w:sz w:val="20"/>
          <w:szCs w:val="20"/>
        </w:rPr>
      </w:pPr>
      <w:r>
        <w:rPr>
          <w:rFonts w:ascii="Times New Roman" w:hAnsi="Times New Roman" w:cs="Times New Roman"/>
          <w:bCs/>
          <w:sz w:val="20"/>
          <w:szCs w:val="20"/>
        </w:rPr>
        <w:object w:dxaOrig="1541" w:dyaOrig="998" w14:anchorId="6F7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8" o:title=""/>
          </v:shape>
          <o:OLEObject Type="Embed" ProgID="Excel.Sheet.12" ShapeID="_x0000_i1025" DrawAspect="Icon" ObjectID="_1750686364"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r w:rsidRPr="00902980">
        <w:rPr>
          <w:rFonts w:ascii="Times New Roman" w:hAnsi="Times New Roman" w:cs="Times New Roman"/>
          <w:b/>
          <w:i/>
          <w:sz w:val="20"/>
          <w:szCs w:val="20"/>
        </w:rPr>
        <w:t>Giá dịch vụ</w:t>
      </w:r>
      <w:r w:rsidRPr="00902980">
        <w:rPr>
          <w:rFonts w:ascii="Times New Roman" w:hAnsi="Times New Roman" w:cs="Times New Roman"/>
          <w:b/>
          <w:i/>
          <w:sz w:val="20"/>
          <w:szCs w:val="20"/>
          <w:lang w:val="vi-VN"/>
        </w:rPr>
        <w:t xml:space="preserve"> quản lý quỹ</w:t>
      </w:r>
      <w:bookmarkEnd w:id="1"/>
      <w:bookmarkEnd w:id="2"/>
    </w:p>
    <w:p w14:paraId="4A74D7FA"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Giá dịch vụ quản lý tối đa là 2% NAV/năm. Giá dịch vụ này được trả cho công ty quản lý quỹ DCVFM để thực hiện các dịch vụ quản lý cho Quỹ DCBC.</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63ED3BEE" w14:textId="77777777" w:rsid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quản trị quỹ tối đa 0,03% NAV/năm chưa bao gồm thuế GTGT (nếu có).</w:t>
      </w:r>
    </w:p>
    <w:p w14:paraId="672C1C87" w14:textId="14F6FF11" w:rsidR="009367D3" w:rsidRDefault="009367D3" w:rsidP="009367D3">
      <w:pPr>
        <w:pStyle w:val="ListParagraph"/>
        <w:spacing w:before="120" w:after="120" w:line="360" w:lineRule="auto"/>
        <w:ind w:left="0"/>
        <w:contextualSpacing w:val="0"/>
        <w:jc w:val="both"/>
        <w:rPr>
          <w:rFonts w:ascii="Times New Roman" w:hAnsi="Times New Roman" w:cs="Times New Roman"/>
          <w:b/>
          <w:sz w:val="20"/>
          <w:szCs w:val="20"/>
          <w:lang w:val="vi-VN"/>
        </w:rPr>
      </w:pPr>
    </w:p>
    <w:p w14:paraId="62A3E473" w14:textId="77777777" w:rsidR="006518EA" w:rsidRPr="00925F04" w:rsidRDefault="006518EA" w:rsidP="009367D3">
      <w:pPr>
        <w:pStyle w:val="ListParagraph"/>
        <w:spacing w:before="120" w:after="120" w:line="360" w:lineRule="auto"/>
        <w:ind w:left="0"/>
        <w:contextualSpacing w:val="0"/>
        <w:jc w:val="both"/>
        <w:rPr>
          <w:rFonts w:ascii="Times New Roman" w:hAnsi="Times New Roman" w:cs="Times New Roman"/>
          <w:b/>
          <w:sz w:val="20"/>
          <w:szCs w:val="20"/>
          <w:lang w:val="vi-VN"/>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4A67B66F" w14:textId="77777777" w:rsidR="0057477D" w:rsidRPr="00D57C9C" w:rsidRDefault="0057477D" w:rsidP="0057477D">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29"/>
        <w:gridCol w:w="3269"/>
        <w:gridCol w:w="3307"/>
      </w:tblGrid>
      <w:tr w:rsidR="001542A3" w:rsidRPr="005B0542" w14:paraId="59E8E012" w14:textId="77777777" w:rsidTr="001542A3">
        <w:tc>
          <w:tcPr>
            <w:tcW w:w="5000" w:type="pct"/>
            <w:gridSpan w:val="3"/>
            <w:vAlign w:val="bottom"/>
          </w:tcPr>
          <w:p w14:paraId="49C65CF4" w14:textId="77777777" w:rsidR="001542A3" w:rsidRPr="00DE3880" w:rsidRDefault="001542A3" w:rsidP="004312F9">
            <w:pPr>
              <w:tabs>
                <w:tab w:val="center" w:pos="4320"/>
              </w:tabs>
              <w:ind w:right="260"/>
              <w:rPr>
                <w:rFonts w:ascii="Times New Roman" w:hAnsi="Times New Roman"/>
                <w:b/>
                <w:sz w:val="20"/>
                <w:szCs w:val="20"/>
                <w:lang w:val="nl-NL"/>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lập:</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duyệt: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Phạm Thị Như Thảo</w:t>
            </w:r>
          </w:p>
        </w:tc>
        <w:tc>
          <w:tcPr>
            <w:tcW w:w="1738"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Ninh Thị Tuệ Minh</w:t>
            </w:r>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Nguyễn Minh Đăng Khánh</w:t>
            </w:r>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Quỹ</w:t>
            </w:r>
          </w:p>
        </w:tc>
        <w:tc>
          <w:tcPr>
            <w:tcW w:w="1738"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r>
              <w:rPr>
                <w:rFonts w:ascii="Times New Roman" w:hAnsi="Times New Roman"/>
                <w:sz w:val="20"/>
                <w:szCs w:val="20"/>
              </w:rPr>
              <w:t>Trưởng phòng Kế toán Quỹ</w:t>
            </w:r>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Giám đốc điều hành Nghiệp vụ</w:t>
            </w:r>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hỗ trợ đầu tư</w:t>
            </w:r>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10"/>
      <w:footerReference w:type="default" r:id="rId11"/>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AFC" w14:textId="77777777" w:rsidR="00342DFC" w:rsidRDefault="00342DFC" w:rsidP="002169ED">
      <w:pPr>
        <w:spacing w:after="0" w:line="240" w:lineRule="auto"/>
      </w:pPr>
      <w:r>
        <w:separator/>
      </w:r>
    </w:p>
  </w:endnote>
  <w:endnote w:type="continuationSeparator" w:id="0">
    <w:p w14:paraId="70A2DFE2" w14:textId="77777777" w:rsidR="00342DFC" w:rsidRDefault="00342DFC"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267B" w14:textId="77777777" w:rsidR="00342DFC" w:rsidRDefault="00342DFC" w:rsidP="002169ED">
      <w:pPr>
        <w:spacing w:after="0" w:line="240" w:lineRule="auto"/>
      </w:pPr>
      <w:r>
        <w:separator/>
      </w:r>
    </w:p>
  </w:footnote>
  <w:footnote w:type="continuationSeparator" w:id="0">
    <w:p w14:paraId="52ED8F58" w14:textId="77777777" w:rsidR="00342DFC" w:rsidRDefault="00342DFC"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002B891F" w:rsidR="003D244D" w:rsidRDefault="00DE3880">
    <w:pPr>
      <w:pStyle w:val="Header"/>
    </w:pPr>
    <w:r>
      <w:rPr>
        <w:noProof/>
      </w:rPr>
      <mc:AlternateContent>
        <mc:Choice Requires="wps">
          <w:drawing>
            <wp:anchor distT="0" distB="0" distL="114300" distR="114300" simplePos="0" relativeHeight="251658240" behindDoc="0" locked="0" layoutInCell="0" allowOverlap="1" wp14:anchorId="2EBB5AC6" wp14:editId="0674A05F">
              <wp:simplePos x="0" y="0"/>
              <wp:positionH relativeFrom="page">
                <wp:posOffset>0</wp:posOffset>
              </wp:positionH>
              <wp:positionV relativeFrom="page">
                <wp:posOffset>190500</wp:posOffset>
              </wp:positionV>
              <wp:extent cx="7560310" cy="266700"/>
              <wp:effectExtent l="0" t="0" r="0" b="0"/>
              <wp:wrapNone/>
              <wp:docPr id="1" name="MSIPCMcc57486bab192625aef9f0e0"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ABB9" w14:textId="45C8F215" w:rsidR="003D244D" w:rsidRPr="00781847" w:rsidRDefault="00781847" w:rsidP="00781847">
                          <w:pPr>
                            <w:spacing w:after="0"/>
                            <w:rPr>
                              <w:rFonts w:ascii="Arial" w:hAnsi="Arial" w:cs="Arial"/>
                              <w:color w:val="317100"/>
                              <w:sz w:val="18"/>
                            </w:rPr>
                          </w:pPr>
                          <w:r w:rsidRPr="00781847">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B5AC6" id="_x0000_t202" coordsize="21600,21600" o:spt="202" path="m,l,21600r21600,l21600,xe">
              <v:stroke joinstyle="miter"/>
              <v:path gradientshapeok="t" o:connecttype="rect"/>
            </v:shapetype>
            <v:shape id="MSIPCMcc57486bab192625aef9f0e0"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4CEABB9" w14:textId="45C8F215" w:rsidR="003D244D" w:rsidRPr="00781847" w:rsidRDefault="00781847" w:rsidP="00781847">
                    <w:pPr>
                      <w:spacing w:after="0"/>
                      <w:rPr>
                        <w:rFonts w:ascii="Arial" w:hAnsi="Arial" w:cs="Arial"/>
                        <w:color w:val="317100"/>
                        <w:sz w:val="18"/>
                      </w:rPr>
                    </w:pPr>
                    <w:r w:rsidRPr="00781847">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25111870">
    <w:abstractNumId w:val="24"/>
  </w:num>
  <w:num w:numId="2" w16cid:durableId="1825076027">
    <w:abstractNumId w:val="28"/>
  </w:num>
  <w:num w:numId="3" w16cid:durableId="502862410">
    <w:abstractNumId w:val="28"/>
  </w:num>
  <w:num w:numId="4" w16cid:durableId="1252424125">
    <w:abstractNumId w:val="24"/>
  </w:num>
  <w:num w:numId="5" w16cid:durableId="34084764">
    <w:abstractNumId w:val="24"/>
  </w:num>
  <w:num w:numId="6" w16cid:durableId="1105228447">
    <w:abstractNumId w:val="28"/>
  </w:num>
  <w:num w:numId="7" w16cid:durableId="576129998">
    <w:abstractNumId w:val="25"/>
  </w:num>
  <w:num w:numId="8" w16cid:durableId="1463622264">
    <w:abstractNumId w:val="35"/>
  </w:num>
  <w:num w:numId="9" w16cid:durableId="923957975">
    <w:abstractNumId w:val="44"/>
  </w:num>
  <w:num w:numId="10" w16cid:durableId="1403065082">
    <w:abstractNumId w:val="13"/>
  </w:num>
  <w:num w:numId="11" w16cid:durableId="1405907653">
    <w:abstractNumId w:val="9"/>
  </w:num>
  <w:num w:numId="12" w16cid:durableId="1292320763">
    <w:abstractNumId w:val="41"/>
  </w:num>
  <w:num w:numId="13" w16cid:durableId="260799661">
    <w:abstractNumId w:val="3"/>
  </w:num>
  <w:num w:numId="14" w16cid:durableId="997735025">
    <w:abstractNumId w:val="29"/>
  </w:num>
  <w:num w:numId="15" w16cid:durableId="1256478375">
    <w:abstractNumId w:val="48"/>
  </w:num>
  <w:num w:numId="16" w16cid:durableId="1489513062">
    <w:abstractNumId w:val="5"/>
  </w:num>
  <w:num w:numId="17" w16cid:durableId="1437673512">
    <w:abstractNumId w:val="16"/>
  </w:num>
  <w:num w:numId="18" w16cid:durableId="1668047137">
    <w:abstractNumId w:val="23"/>
  </w:num>
  <w:num w:numId="19" w16cid:durableId="885802391">
    <w:abstractNumId w:val="33"/>
  </w:num>
  <w:num w:numId="20" w16cid:durableId="1492675948">
    <w:abstractNumId w:val="43"/>
  </w:num>
  <w:num w:numId="21" w16cid:durableId="1637951281">
    <w:abstractNumId w:val="47"/>
  </w:num>
  <w:num w:numId="22" w16cid:durableId="234322937">
    <w:abstractNumId w:val="39"/>
  </w:num>
  <w:num w:numId="23" w16cid:durableId="948047431">
    <w:abstractNumId w:val="19"/>
  </w:num>
  <w:num w:numId="24" w16cid:durableId="1890990536">
    <w:abstractNumId w:val="0"/>
  </w:num>
  <w:num w:numId="25" w16cid:durableId="1685748255">
    <w:abstractNumId w:val="51"/>
  </w:num>
  <w:num w:numId="26" w16cid:durableId="2121289771">
    <w:abstractNumId w:val="17"/>
  </w:num>
  <w:num w:numId="27" w16cid:durableId="36468582">
    <w:abstractNumId w:val="45"/>
  </w:num>
  <w:num w:numId="28" w16cid:durableId="1325281764">
    <w:abstractNumId w:val="10"/>
  </w:num>
  <w:num w:numId="29" w16cid:durableId="2130658866">
    <w:abstractNumId w:val="7"/>
  </w:num>
  <w:num w:numId="30" w16cid:durableId="328215380">
    <w:abstractNumId w:val="1"/>
  </w:num>
  <w:num w:numId="31" w16cid:durableId="886263168">
    <w:abstractNumId w:val="15"/>
  </w:num>
  <w:num w:numId="32" w16cid:durableId="2016954452">
    <w:abstractNumId w:val="30"/>
  </w:num>
  <w:num w:numId="33" w16cid:durableId="1219515000">
    <w:abstractNumId w:val="49"/>
  </w:num>
  <w:num w:numId="34" w16cid:durableId="539099780">
    <w:abstractNumId w:val="42"/>
  </w:num>
  <w:num w:numId="35" w16cid:durableId="139855911">
    <w:abstractNumId w:val="4"/>
  </w:num>
  <w:num w:numId="36" w16cid:durableId="695275912">
    <w:abstractNumId w:val="14"/>
  </w:num>
  <w:num w:numId="37" w16cid:durableId="1016346522">
    <w:abstractNumId w:val="26"/>
  </w:num>
  <w:num w:numId="38" w16cid:durableId="1592086053">
    <w:abstractNumId w:val="21"/>
  </w:num>
  <w:num w:numId="39" w16cid:durableId="1390764989">
    <w:abstractNumId w:val="6"/>
  </w:num>
  <w:num w:numId="40" w16cid:durableId="818495323">
    <w:abstractNumId w:val="46"/>
  </w:num>
  <w:num w:numId="41" w16cid:durableId="728383057">
    <w:abstractNumId w:val="40"/>
  </w:num>
  <w:num w:numId="42" w16cid:durableId="738482012">
    <w:abstractNumId w:val="34"/>
  </w:num>
  <w:num w:numId="43" w16cid:durableId="758018034">
    <w:abstractNumId w:val="27"/>
  </w:num>
  <w:num w:numId="44" w16cid:durableId="651177057">
    <w:abstractNumId w:val="52"/>
  </w:num>
  <w:num w:numId="45" w16cid:durableId="161743655">
    <w:abstractNumId w:val="20"/>
  </w:num>
  <w:num w:numId="46" w16cid:durableId="1007950012">
    <w:abstractNumId w:val="18"/>
  </w:num>
  <w:num w:numId="47" w16cid:durableId="691995636">
    <w:abstractNumId w:val="2"/>
  </w:num>
  <w:num w:numId="48" w16cid:durableId="2017926495">
    <w:abstractNumId w:val="38"/>
  </w:num>
  <w:num w:numId="49" w16cid:durableId="1554652426">
    <w:abstractNumId w:val="22"/>
  </w:num>
  <w:num w:numId="50" w16cid:durableId="1878197283">
    <w:abstractNumId w:val="8"/>
  </w:num>
  <w:num w:numId="51" w16cid:durableId="1898278815">
    <w:abstractNumId w:val="11"/>
  </w:num>
  <w:num w:numId="52" w16cid:durableId="2056271123">
    <w:abstractNumId w:val="37"/>
  </w:num>
  <w:num w:numId="53" w16cid:durableId="531725571">
    <w:abstractNumId w:val="12"/>
  </w:num>
  <w:num w:numId="54" w16cid:durableId="908073239">
    <w:abstractNumId w:val="32"/>
  </w:num>
  <w:num w:numId="55" w16cid:durableId="824509365">
    <w:abstractNumId w:val="31"/>
  </w:num>
  <w:num w:numId="56" w16cid:durableId="1234655188">
    <w:abstractNumId w:val="50"/>
  </w:num>
  <w:num w:numId="57" w16cid:durableId="52744890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0C3E"/>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2DFC"/>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6241"/>
    <w:rsid w:val="00622406"/>
    <w:rsid w:val="006237F0"/>
    <w:rsid w:val="00623C6B"/>
    <w:rsid w:val="00633817"/>
    <w:rsid w:val="00635CFD"/>
    <w:rsid w:val="006426A5"/>
    <w:rsid w:val="00650322"/>
    <w:rsid w:val="006518EA"/>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1847"/>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3D42"/>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4809"/>
    <w:rsid w:val="00A556CF"/>
    <w:rsid w:val="00A60B56"/>
    <w:rsid w:val="00A60E81"/>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23E6"/>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76549"/>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4D5D"/>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0592"/>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3BF2"/>
    <w:rsid w:val="00ED6C0D"/>
    <w:rsid w:val="00ED78D1"/>
    <w:rsid w:val="00ED7D49"/>
    <w:rsid w:val="00EE0273"/>
    <w:rsid w:val="00EE1056"/>
    <w:rsid w:val="00EE1844"/>
    <w:rsid w:val="00EE2E4B"/>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 w:type="character" w:styleId="UnresolvedMention">
    <w:name w:val="Unresolved Mention"/>
    <w:basedOn w:val="DefaultParagraphFont"/>
    <w:uiPriority w:val="99"/>
    <w:semiHidden/>
    <w:unhideWhenUsed/>
    <w:rsid w:val="0007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wCgC028QzgDXPUmK6Xo8Y2VqaUA=</DigestValue>
    </Reference>
    <Reference Type="http://www.w3.org/2000/09/xmldsig#Object" URI="#idOfficeObject">
      <DigestMethod Algorithm="http://www.w3.org/2000/09/xmldsig#sha1"/>
      <DigestValue>w0LERSabd1GKQahCJ7u02CEbU3Q=</DigestValue>
    </Reference>
    <Reference Type="http://uri.etsi.org/01903#SignedProperties" URI="#idSignedProperties">
      <Transforms>
        <Transform Algorithm="http://www.w3.org/TR/2001/REC-xml-c14n-20010315"/>
      </Transforms>
      <DigestMethod Algorithm="http://www.w3.org/2000/09/xmldsig#sha1"/>
      <DigestValue>S5PtViNseSoS+U6E9RQ/X7TPR2A=</DigestValue>
    </Reference>
  </SignedInfo>
  <SignatureValue>GXJeF3PuUbvvkQ3c8z+uW6JpGM3xbfhieFFcUcuVhDDf4/7WENdlqoy+MuORKZuKA4iYrp1vDtnl
IToaGLXWUHw+niiztmVLLmZIfzTZZQDEtWjldiWA1Xi8sHfQ7oyXe4cYPklrif4UV3LfDVbt37CO
rWGgru2oE+ir9aPOYRE=</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kXDnrF/Kax5ag4nJVKBnqNZmmJA=</DigestValue>
      </Reference>
      <Reference URI="/word/embeddings/Microsoft_Excel_Worksheet.xlsx?ContentType=application/vnd.openxmlformats-officedocument.spreadsheetml.sheet">
        <DigestMethod Algorithm="http://www.w3.org/2000/09/xmldsig#sha1"/>
        <DigestValue>1p2hGAcc647b5gN9aPhMEtyOzTE=</DigestValue>
      </Reference>
      <Reference URI="/word/endnotes.xml?ContentType=application/vnd.openxmlformats-officedocument.wordprocessingml.endnotes+xml">
        <DigestMethod Algorithm="http://www.w3.org/2000/09/xmldsig#sha1"/>
        <DigestValue>cfKboCV1kBUNgy78Fcxrh4RovEs=</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92zQRsGluaZvpP6ZK8kiz+vnv14=</DigestValue>
      </Reference>
      <Reference URI="/word/footnotes.xml?ContentType=application/vnd.openxmlformats-officedocument.wordprocessingml.footnotes+xml">
        <DigestMethod Algorithm="http://www.w3.org/2000/09/xmldsig#sha1"/>
        <DigestValue>Wst4SD2GEkZIVRfGIzZZuLtgKa4=</DigestValue>
      </Reference>
      <Reference URI="/word/header1.xml?ContentType=application/vnd.openxmlformats-officedocument.wordprocessingml.header+xml">
        <DigestMethod Algorithm="http://www.w3.org/2000/09/xmldsig#sha1"/>
        <DigestValue>aRW381Gl23sfQTsFEXHdtPayrjE=</DigestValue>
      </Reference>
      <Reference URI="/word/media/image1.emf?ContentType=image/x-emf">
        <DigestMethod Algorithm="http://www.w3.org/2000/09/xmldsig#sha1"/>
        <DigestValue>bq996RSAiequcxhlN7ewkc6yJUw=</DigestValue>
      </Reference>
      <Reference URI="/word/numbering.xml?ContentType=application/vnd.openxmlformats-officedocument.wordprocessingml.numbering+xml">
        <DigestMethod Algorithm="http://www.w3.org/2000/09/xmldsig#sha1"/>
        <DigestValue>ETQZO9DrBwEyA7P1tZtyQ+E6wc4=</DigestValue>
      </Reference>
      <Reference URI="/word/settings.xml?ContentType=application/vnd.openxmlformats-officedocument.wordprocessingml.settings+xml">
        <DigestMethod Algorithm="http://www.w3.org/2000/09/xmldsig#sha1"/>
        <DigestValue>GNNVKRo1MynMxuoKEaT2OgPtU18=</DigestValue>
      </Reference>
      <Reference URI="/word/styles.xml?ContentType=application/vnd.openxmlformats-officedocument.wordprocessingml.styles+xml">
        <DigestMethod Algorithm="http://www.w3.org/2000/09/xmldsig#sha1"/>
        <DigestValue>11ssmRh7P6tJtZkmS+1Bgxl7FBg=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2023-07-18T12:53:50Z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2023-07-18T12:53:50Z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8</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Tran Anh, Cuong</cp:lastModifiedBy>
  <cp:revision>19</cp:revision>
  <cp:lastPrinted>2023-07-12T09:00:00Z</cp:lastPrinted>
  <dcterms:created xsi:type="dcterms:W3CDTF">2022-10-06T10:20:00Z</dcterms:created>
  <dcterms:modified xsi:type="dcterms:W3CDTF">2023-07-12T10:00:00Z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2023-07-12T10:00:05Z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4bff0ac9-5472-4122-b32e-edc64e78dfc1</vt:lpwstr>
  </property>
  <property fmtid="{D5CDD505-2E9C-101B-9397-08002B2CF9AE}" pid="8" name="MSIP_Label_ebbfc019-7f88-4fb6-96d6-94ffadd4b772_ContentBits">
    <vt:lpwstr>1</vt:lpwstr>
  </property>
</Properties>
</file>